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6"/>
        <w:jc w:val="center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АНОНС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26"/>
        <w:contextualSpacing/>
        <w:jc w:val="center"/>
        <w:spacing w:before="0" w:after="0" w:line="264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 продаже </w:t>
      </w:r>
      <w:r>
        <w:rPr>
          <w:rFonts w:ascii="Times New Roman" w:hAnsi="Times New Roman"/>
          <w:b/>
          <w:bCs/>
          <w:sz w:val="24"/>
          <w:szCs w:val="24"/>
        </w:rPr>
        <w:t xml:space="preserve">100% доли в уставном капитале </w:t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Общества с ограниченной ответственностью «ЛОГазинвест»</w:t>
      </w:r>
      <w:r>
        <w:rPr>
          <w:rFonts w:ascii="Times New Roman" w:hAnsi="Times New Roman"/>
          <w:b/>
          <w:bCs/>
          <w:sz w:val="24"/>
          <w:szCs w:val="24"/>
        </w:rPr>
        <w:t xml:space="preserve">, принадлежащей АО «Газпром газораспределение Ленинградская область» 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26"/>
        <w:spacing w:before="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pStyle w:val="826"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АО «Газпром газораспределение Ленинградская область» </w:t>
      </w:r>
      <w:r>
        <w:rPr>
          <w:rFonts w:ascii="Times New Roman" w:hAnsi="Times New Roman" w:cs="Times New Roman"/>
          <w:sz w:val="24"/>
        </w:rPr>
        <w:t xml:space="preserve">сообщает о намерении реализовать долю в размере 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100%</w:t>
      </w:r>
      <w:r>
        <w:rPr>
          <w:rFonts w:ascii="Times New Roman" w:hAnsi="Times New Roman" w:cs="Times New Roman"/>
          <w:sz w:val="24"/>
        </w:rPr>
        <w:t xml:space="preserve"> в уставном капитале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/>
        </w:rPr>
        <w:t xml:space="preserve">Общества с ограниченной ответственностью «ЛОГазинвест»</w:t>
      </w:r>
      <w:r>
        <w:rPr>
          <w:rFonts w:ascii="Times New Roman" w:hAnsi="Times New Roman" w:cs="Times New Roman"/>
          <w:sz w:val="24"/>
        </w:rPr>
        <w:t xml:space="preserve"> (далее – Доля), находящегося по адресу: Ленинградская область, м.р-н Кировский, г Кировск, г.п. Кировское, ул Победы, д. 37.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и</w:t>
      </w:r>
      <w:r>
        <w:rPr>
          <w:rFonts w:ascii="Times New Roman" w:hAnsi="Times New Roman" w:cs="Times New Roman"/>
          <w:sz w:val="24"/>
        </w:rPr>
        <w:t xml:space="preserve"> приглашают заинтересованных лиц принять участие в переговорах по приобретению данного имущества.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2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Договор купли-продажи заключается под отлагательным условием (п. 1 ст. 157 ГК РФ) и вступает в сил</w:t>
      </w:r>
      <w:r>
        <w:rPr>
          <w:rFonts w:ascii="Times New Roman" w:hAnsi="Times New Roman" w:eastAsia="Calibri" w:cs="Times New Roman"/>
          <w:sz w:val="24"/>
          <w:szCs w:val="24"/>
        </w:rPr>
        <w:t xml:space="preserve">у при условии, что Покупатель принимает на себя обязательство помимо заключения договора купли-продажи также заключить договор цессии с АО «Газпром газораспределение Ленинградская область» (цедент №1), АО «Газпром газораспределение» (цедент №2) на сумму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 размере 261 657 116,80 рублей, на условиях погашения задолженности в течение 5 (пяти) лет с передачей имущества, принадлежащего ООО</w:t>
      </w:r>
      <w:r>
        <w:t xml:space="preserve"> </w:t>
      </w:r>
      <w:r>
        <w:rPr>
          <w:rFonts w:ascii="Times New Roman" w:hAnsi="Times New Roman" w:eastAsia="Calibri" w:cs="Times New Roman"/>
          <w:sz w:val="24"/>
          <w:szCs w:val="24"/>
        </w:rPr>
        <w:t xml:space="preserve">«ЛОГазинвест», в залог Продавцу с  возможностью поэтапного вывода имущества из под залога по мере погашения задолженности.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2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Покупатель принимает на се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бя дополнительное обязательство предоставить Продавцу банковскую гарантию на сумму задолженности ООО «ЛОГазинвест» перед  АО «Газпром газораспределение», АО «Газпром газораспределение Ленинградская область» до даты исполнения Покупателем всех обязательств.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26"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Договор купли-продажи Доли заключается по цене, не ниже определенной по итогам торгов на ООО ЭТП ГПБ, в соответствии с Федеральным законом от 08.02.1998 №14-ФЗ «Об обществах с ограниченной ответственностью».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26"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цена торгов: 133 000 000 рублей 00 коп., НДС не облагается.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26"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торгов: 66 500 000 рублей 00 коп., НДС не облагается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26"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Style w:val="847"/>
        <w:tblW w:w="98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6"/>
        <w:gridCol w:w="177"/>
        <w:gridCol w:w="5741"/>
      </w:tblGrid>
      <w:tr>
        <w:tblPrEx/>
        <w:trPr>
          <w:trHeight w:val="423"/>
        </w:trPr>
        <w:tc>
          <w:tcPr>
            <w:gridSpan w:val="3"/>
            <w:shd w:val="clear" w:color="auto" w:fill="auto"/>
            <w:tcW w:w="9854" w:type="dxa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tabs>
                <w:tab w:val="clear" w:pos="708" w:leader="none"/>
                <w:tab w:val="left" w:pos="6630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Описание имущества: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589"/>
        </w:trPr>
        <w:tc>
          <w:tcPr>
            <w:tcW w:w="3936" w:type="dxa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tabs>
                <w:tab w:val="clear" w:pos="708" w:leader="none"/>
                <w:tab w:val="left" w:pos="663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  <w:t xml:space="preserve">Доля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5918" w:type="dxa"/>
            <w:textDirection w:val="lrTb"/>
            <w:noWrap w:val="false"/>
          </w:tcPr>
          <w:p>
            <w:pPr>
              <w:pStyle w:val="826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lang w:val="ru-RU" w:eastAsia="en-US" w:bidi="ar-SA"/>
              </w:rPr>
              <w:t xml:space="preserve">100%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  <w:t xml:space="preserve">в уставном капитале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  <w:lang w:val="ru-RU" w:eastAsia="en-US" w:bidi="ar-SA"/>
              </w:rPr>
              <w:t xml:space="preserve">Общества с ограниченной ответственностью «ЛОГазинвест»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2"/>
        </w:trPr>
        <w:tc>
          <w:tcPr>
            <w:tcW w:w="3936" w:type="dxa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tabs>
                <w:tab w:val="clear" w:pos="708" w:leader="none"/>
                <w:tab w:val="left" w:pos="663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  <w:t xml:space="preserve">Уставной капитал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5918" w:type="dxa"/>
            <w:vAlign w:val="center"/>
            <w:textDirection w:val="lrTb"/>
            <w:noWrap w:val="false"/>
          </w:tcPr>
          <w:p>
            <w:pPr>
              <w:pStyle w:val="826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lang w:val="ru-RU" w:eastAsia="en-US" w:bidi="ar-SA"/>
              </w:rPr>
              <w:t xml:space="preserve">148 340,1 тыс. руб.</w:t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  <w:r>
              <w:rPr>
                <w:rFonts w:ascii="Times New Roman" w:hAnsi="Times New Roman" w:eastAsia="Calibri" w:cs="Times New Roman"/>
                <w:bCs/>
                <w:lang w:eastAsia="en-US"/>
              </w:rPr>
            </w:r>
          </w:p>
        </w:tc>
      </w:tr>
      <w:tr>
        <w:tblPrEx/>
        <w:trPr>
          <w:trHeight w:val="545"/>
        </w:trPr>
        <w:tc>
          <w:tcPr>
            <w:tcW w:w="3936" w:type="dxa"/>
            <w:textDirection w:val="lrTb"/>
            <w:noWrap w:val="false"/>
          </w:tcPr>
          <w:p>
            <w:pPr>
              <w:pStyle w:val="844"/>
              <w:jc w:val="left"/>
              <w:spacing w:before="0" w:beforeAutospacing="0" w:after="0" w:afterAutospacing="0"/>
              <w:widowControl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ru-RU" w:eastAsia="ru-RU" w:bidi="ar-SA"/>
              </w:rPr>
              <w:t xml:space="preserve">Средняя /(штатная) численность персонала 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ru-RU" w:eastAsia="en-US" w:bidi="ar-SA"/>
              </w:rPr>
              <w:t xml:space="preserve">ООО «ЛОГазинвест»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5918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beforeAutospacing="0" w:after="0" w:afterAutospacing="0"/>
              <w:widowControl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 w:eastAsia="ru-RU" w:bidi="ar-SA"/>
              </w:rPr>
              <w:t xml:space="preserve">196</w:t>
            </w:r>
            <w:bookmarkStart w:id="0" w:name="_GoBack"/>
            <w:r/>
            <w:bookmarkEnd w:id="0"/>
            <w:r>
              <w:rPr>
                <w:bCs/>
                <w:sz w:val="22"/>
                <w:szCs w:val="22"/>
                <w:lang w:val="ru-RU" w:eastAsia="ru-RU" w:bidi="ar-SA"/>
              </w:rPr>
              <w:t xml:space="preserve">/(266,3) человек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699"/>
        </w:trPr>
        <w:tc>
          <w:tcPr>
            <w:tcW w:w="3936" w:type="dxa"/>
            <w:textDirection w:val="lrTb"/>
            <w:noWrap w:val="false"/>
          </w:tcPr>
          <w:p>
            <w:pPr>
              <w:pStyle w:val="844"/>
              <w:jc w:val="left"/>
              <w:spacing w:before="58" w:beforeAutospacing="0" w:after="0" w:afterAutospacing="0"/>
              <w:widowControl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ru-RU" w:eastAsia="ru-RU" w:bidi="ar-SA"/>
              </w:rPr>
              <w:t xml:space="preserve">Эксплуатируемое имущество (в собственности)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44"/>
              <w:jc w:val="left"/>
              <w:spacing w:before="0" w:beforeAutospacing="0" w:after="0" w:afterAutospacing="0"/>
              <w:widowControl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ru-RU" w:eastAsia="ru-RU" w:bidi="ar-SA"/>
              </w:rPr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W w:w="5918" w:type="dxa"/>
            <w:textDirection w:val="lrTb"/>
            <w:noWrap w:val="false"/>
          </w:tcPr>
          <w:p>
            <w:pPr>
              <w:pStyle w:val="844"/>
              <w:jc w:val="both"/>
              <w:spacing w:before="0" w:beforeAutospacing="0" w:after="0" w:afterAutospacing="0"/>
              <w:widowControl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ru-RU" w:eastAsia="ru-RU" w:bidi="ar-SA"/>
              </w:rPr>
              <w:t xml:space="preserve">Газонаполнительные станции (2 шт.), базы хранения ГНС (818т), газонаполнительные пункты (6 шт.), базы хранения ГНП (44,6т), пункты хранения, наполнения и обмена бал</w:t>
            </w:r>
            <w:r>
              <w:rPr>
                <w:sz w:val="22"/>
                <w:szCs w:val="22"/>
                <w:lang w:val="ru-RU" w:eastAsia="ru-RU" w:bidi="ar-SA"/>
              </w:rPr>
              <w:t xml:space="preserve">лонов (11 шт.), АГЗС в консервации (1 шт.), наружные газопроводы протяженностью 88,8 км, ГУ в эксплуатации (121 шт.), установки электрохимзащиты на подземных металлических газопроводах природного и сжиженного газа (88 шт.), автомобильный транспорт (68 шт.)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479"/>
        </w:trPr>
        <w:tc>
          <w:tcPr>
            <w:gridSpan w:val="3"/>
            <w:tcW w:w="9854" w:type="dxa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  <w:t xml:space="preserve">Существующие обременения: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 w:eastAsia="ru-RU" w:bidi="ar-SA"/>
              </w:rPr>
              <w:t xml:space="preserve">отсутствуют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99"/>
        </w:trPr>
        <w:tc>
          <w:tcPr>
            <w:gridSpan w:val="2"/>
            <w:tcBorders>
              <w:top w:val="none" w:color="000000" w:sz="4" w:space="0"/>
              <w:right w:val="none" w:color="000000" w:sz="4" w:space="0"/>
            </w:tcBorders>
            <w:tcW w:w="4113" w:type="dxa"/>
            <w:vMerge w:val="restart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  <w:t xml:space="preserve">Контактные данные собственников: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  <w:t xml:space="preserve">Юридический адрес собственников: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  <w:t xml:space="preserve">Почтовый адрес собственников: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  <w:t xml:space="preserve">Адрес электронной почты представителя: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  <w:t xml:space="preserve">Телефон представителя: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</w:tcBorders>
            <w:tcW w:w="5741" w:type="dxa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  <w:t xml:space="preserve">АО «Газпром газораспределение Ленинградская область»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1"/>
        </w:trPr>
        <w:tc>
          <w:tcPr>
            <w:gridSpan w:val="2"/>
            <w:tcBorders>
              <w:right w:val="none" w:color="000000" w:sz="4" w:space="0"/>
            </w:tcBorders>
            <w:tcW w:w="4113" w:type="dxa"/>
            <w:vMerge w:val="continue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none" w:color="000000" w:sz="4" w:space="0"/>
            </w:tcBorders>
            <w:tcW w:w="5741" w:type="dxa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  <w:t xml:space="preserve">188507, Ленинградская область, м.р-н Ломоносовский, г.п. Аннинское, г. Новоселье, наб. реки Кикенки, зд.3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1"/>
        </w:trPr>
        <w:tc>
          <w:tcPr>
            <w:gridSpan w:val="2"/>
            <w:tcBorders>
              <w:right w:val="none" w:color="000000" w:sz="4" w:space="0"/>
            </w:tcBorders>
            <w:tcW w:w="4113" w:type="dxa"/>
            <w:vMerge w:val="continue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none" w:color="000000" w:sz="4" w:space="0"/>
            </w:tcBorders>
            <w:tcW w:w="5741" w:type="dxa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 w:eastAsia="ru-RU" w:bidi="ar-SA"/>
              </w:rPr>
              <w:t xml:space="preserve">192148, г. Санкт-Петербург, ул. Пинегина, д.4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54"/>
        </w:trPr>
        <w:tc>
          <w:tcPr>
            <w:gridSpan w:val="2"/>
            <w:tcBorders>
              <w:right w:val="none" w:color="000000" w:sz="4" w:space="0"/>
            </w:tcBorders>
            <w:tcW w:w="4113" w:type="dxa"/>
            <w:vMerge w:val="continue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none" w:color="000000" w:sz="4" w:space="0"/>
            </w:tcBorders>
            <w:tcW w:w="5741" w:type="dxa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bCs/>
                <w:sz w:val="22"/>
                <w:szCs w:val="22"/>
                <w:lang w:val="ru-RU" w:eastAsia="en-US" w:bidi="ar-SA"/>
              </w:rPr>
              <w:t xml:space="preserve">kirillov@gazprom-lenobl.ru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3"/>
        </w:trPr>
        <w:tc>
          <w:tcPr>
            <w:gridSpan w:val="2"/>
            <w:tcBorders>
              <w:right w:val="none" w:color="000000" w:sz="4" w:space="0"/>
            </w:tcBorders>
            <w:tcW w:w="4113" w:type="dxa"/>
            <w:vMerge w:val="continue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none" w:color="000000" w:sz="4" w:space="0"/>
            </w:tcBorders>
            <w:tcW w:w="5741" w:type="dxa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bCs/>
                <w:color w:val="000000"/>
                <w:lang w:eastAsia="en-US"/>
              </w:rPr>
            </w:r>
            <w:r>
              <w:rPr>
                <w:rFonts w:ascii="Times New Roman" w:hAnsi="Times New Roman" w:eastAsia="Calibri" w:cs="Times New Roman"/>
                <w:bCs/>
                <w:color w:val="000000"/>
                <w:lang w:eastAsia="en-US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bCs/>
                <w:color w:val="000000"/>
                <w:lang w:eastAsia="en-US"/>
              </w:rPr>
            </w:r>
            <w:r>
              <w:rPr>
                <w:rFonts w:ascii="Times New Roman" w:hAnsi="Times New Roman" w:eastAsia="Calibri" w:cs="Times New Roman"/>
                <w:bCs/>
                <w:color w:val="000000"/>
                <w:lang w:eastAsia="en-US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  <w:lang w:val="en-US" w:eastAsia="en-US" w:bidi="ar-SA"/>
              </w:rPr>
              <w:t xml:space="preserve">8 (812) 405-40-04 (47024)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ru-RU" w:bidi="ar-SA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</w:tr>
      <w:tr>
        <w:tblPrEx/>
        <w:trPr>
          <w:trHeight w:val="12889"/>
        </w:trPr>
        <w:tc>
          <w:tcPr>
            <w:gridSpan w:val="2"/>
            <w:tcBorders>
              <w:right w:val="none" w:color="000000" w:sz="4" w:space="0"/>
            </w:tcBorders>
            <w:tcW w:w="4113" w:type="dxa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5683250</wp:posOffset>
                      </wp:positionV>
                      <wp:extent cx="6094730" cy="2335530"/>
                      <wp:effectExtent l="0" t="0" r="0" b="0"/>
                      <wp:wrapNone/>
                      <wp:docPr id="1" name="Picture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rcRect l="0" t="2021" r="0" b="147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94730" cy="23355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6;o:allowoverlap:true;o:allowincell:true;mso-position-horizontal-relative:text;margin-left:-0.30pt;mso-position-horizontal:absolute;mso-position-vertical-relative:text;margin-top:447.50pt;mso-position-vertical:absolute;width:479.90pt;height:183.9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lang w:val="ru-RU" w:eastAsia="ru-RU" w:bidi="ar-SA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46350" cy="1999615"/>
                      <wp:effectExtent l="0" t="0" r="0" b="0"/>
                      <wp:docPr id="2" name="Рисунок 5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Рисунок 5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46350" cy="19996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00.50pt;height:157.4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ru-RU" w:eastAsia="ru-RU" w:bidi="ar-SA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42540" cy="3489960"/>
                      <wp:effectExtent l="0" t="0" r="0" b="0"/>
                      <wp:docPr id="3" name="Picture 8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8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42540" cy="34899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200.20pt;height:274.80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</w:tcBorders>
            <w:tcW w:w="5741" w:type="dxa"/>
            <w:textDirection w:val="lrTb"/>
            <w:noWrap w:val="false"/>
          </w:tcPr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Calibri" w:hAnsi="Calibri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  <w:lang w:val="ru-RU" w:eastAsia="ru-RU" w:bidi="ar-SA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594735" cy="2859405"/>
                      <wp:effectExtent l="0" t="0" r="0" b="0"/>
                      <wp:docPr id="4" name="Рисунок 6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Рисунок 6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594735" cy="28594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283.05pt;height:225.1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Calibri" w:hAnsi="Calibri"/>
                <w:sz w:val="22"/>
                <w:szCs w:val="22"/>
                <w:lang w:val="ru-RU" w:eastAsia="ru-RU" w:bidi="ar-SA"/>
              </w:rPr>
            </w:r>
            <w:r>
              <w:rPr>
                <w:rFonts w:ascii="Calibri" w:hAnsi="Calibri"/>
                <w:sz w:val="22"/>
                <w:szCs w:val="22"/>
                <w:lang w:val="ru-RU" w:eastAsia="ru-RU" w:bidi="ar-SA"/>
              </w:rPr>
            </w:r>
          </w:p>
          <w:p>
            <w:pPr>
              <w:pStyle w:val="826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lang w:val="ru-RU" w:bidi="ar-SA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619500" cy="2622550"/>
                      <wp:effectExtent l="0" t="0" r="0" b="0"/>
                      <wp:docPr id="5" name="Picture 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619500" cy="2622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285.00pt;height:206.50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pStyle w:val="826"/>
        <w:tabs>
          <w:tab w:val="clear" w:pos="708" w:leader="none"/>
          <w:tab w:val="left" w:pos="3451" w:leader="none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</w:p>
    <w:p>
      <w:pPr>
        <w:pStyle w:val="826"/>
        <w:tabs>
          <w:tab w:val="clear" w:pos="708" w:leader="none"/>
          <w:tab w:val="left" w:pos="3451" w:leader="none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</w:p>
    <w:p>
      <w:pPr>
        <w:pStyle w:val="826"/>
        <w:spacing w:before="0" w:after="200"/>
        <w:tabs>
          <w:tab w:val="clear" w:pos="708" w:leader="none"/>
          <w:tab w:val="left" w:pos="3451" w:leader="none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</w:p>
    <w:sectPr>
      <w:footnotePr/>
      <w:endnotePr/>
      <w:type w:val="nextPage"/>
      <w:pgSz w:w="11906" w:h="16838" w:orient="portrait"/>
      <w:pgMar w:top="1134" w:right="849" w:bottom="0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ohit Devanagari">
    <w:panose1 w:val="020B0600000000000000"/>
  </w:font>
  <w:font w:name="Open Sans">
    <w:panose1 w:val="020B0606030504020204"/>
  </w:font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6"/>
    <w:next w:val="826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27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6"/>
    <w:next w:val="826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27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6"/>
    <w:next w:val="826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27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6"/>
    <w:next w:val="826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27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6"/>
    <w:next w:val="826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27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6"/>
    <w:next w:val="826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27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6"/>
    <w:next w:val="826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27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6"/>
    <w:next w:val="826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27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6"/>
    <w:next w:val="826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27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26"/>
    <w:next w:val="826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27"/>
    <w:link w:val="673"/>
    <w:uiPriority w:val="10"/>
    <w:rPr>
      <w:sz w:val="48"/>
      <w:szCs w:val="48"/>
    </w:rPr>
  </w:style>
  <w:style w:type="paragraph" w:styleId="675">
    <w:name w:val="Subtitle"/>
    <w:basedOn w:val="826"/>
    <w:next w:val="826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27"/>
    <w:link w:val="675"/>
    <w:uiPriority w:val="11"/>
    <w:rPr>
      <w:sz w:val="24"/>
      <w:szCs w:val="24"/>
    </w:rPr>
  </w:style>
  <w:style w:type="paragraph" w:styleId="677">
    <w:name w:val="Quote"/>
    <w:basedOn w:val="826"/>
    <w:next w:val="826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6"/>
    <w:next w:val="826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character" w:styleId="681">
    <w:name w:val="Header Char"/>
    <w:basedOn w:val="827"/>
    <w:link w:val="841"/>
    <w:uiPriority w:val="99"/>
  </w:style>
  <w:style w:type="character" w:styleId="682">
    <w:name w:val="Footer Char"/>
    <w:basedOn w:val="827"/>
    <w:link w:val="842"/>
    <w:uiPriority w:val="99"/>
  </w:style>
  <w:style w:type="character" w:styleId="683">
    <w:name w:val="Caption Char"/>
    <w:basedOn w:val="827"/>
    <w:link w:val="836"/>
    <w:uiPriority w:val="35"/>
    <w:rPr>
      <w:b/>
      <w:bCs/>
      <w:color w:val="4f81bd" w:themeColor="accent1"/>
      <w:sz w:val="18"/>
      <w:szCs w:val="18"/>
    </w:rPr>
  </w:style>
  <w:style w:type="table" w:styleId="684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3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4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5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6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7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8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6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7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8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9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0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7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8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9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0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1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2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3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5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6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8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0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1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2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3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4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5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6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7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8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0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1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2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3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4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5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3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4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5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6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7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8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9">
    <w:name w:val="footnote text"/>
    <w:basedOn w:val="826"/>
    <w:link w:val="810"/>
    <w:uiPriority w:val="99"/>
    <w:semiHidden/>
    <w:unhideWhenUsed/>
    <w:pPr>
      <w:spacing w:after="40" w:line="240" w:lineRule="auto"/>
    </w:pPr>
    <w:rPr>
      <w:sz w:val="18"/>
    </w:rPr>
  </w:style>
  <w:style w:type="character" w:styleId="810">
    <w:name w:val="Footnote Text Char"/>
    <w:link w:val="809"/>
    <w:uiPriority w:val="99"/>
    <w:rPr>
      <w:sz w:val="18"/>
    </w:rPr>
  </w:style>
  <w:style w:type="character" w:styleId="811">
    <w:name w:val="footnote reference"/>
    <w:basedOn w:val="827"/>
    <w:uiPriority w:val="99"/>
    <w:unhideWhenUsed/>
    <w:rPr>
      <w:vertAlign w:val="superscript"/>
    </w:rPr>
  </w:style>
  <w:style w:type="paragraph" w:styleId="812">
    <w:name w:val="endnote text"/>
    <w:basedOn w:val="826"/>
    <w:link w:val="813"/>
    <w:uiPriority w:val="99"/>
    <w:semiHidden/>
    <w:unhideWhenUsed/>
    <w:pPr>
      <w:spacing w:after="0" w:line="240" w:lineRule="auto"/>
    </w:pPr>
    <w:rPr>
      <w:sz w:val="20"/>
    </w:rPr>
  </w:style>
  <w:style w:type="character" w:styleId="813">
    <w:name w:val="Endnote Text Char"/>
    <w:link w:val="812"/>
    <w:uiPriority w:val="99"/>
    <w:rPr>
      <w:sz w:val="20"/>
    </w:rPr>
  </w:style>
  <w:style w:type="character" w:styleId="814">
    <w:name w:val="endnote reference"/>
    <w:basedOn w:val="827"/>
    <w:uiPriority w:val="99"/>
    <w:semiHidden/>
    <w:unhideWhenUsed/>
    <w:rPr>
      <w:vertAlign w:val="superscript"/>
    </w:rPr>
  </w:style>
  <w:style w:type="paragraph" w:styleId="815">
    <w:name w:val="toc 1"/>
    <w:basedOn w:val="826"/>
    <w:next w:val="826"/>
    <w:uiPriority w:val="39"/>
    <w:unhideWhenUsed/>
    <w:pPr>
      <w:ind w:left="0" w:right="0" w:firstLine="0"/>
      <w:spacing w:after="57"/>
    </w:pPr>
  </w:style>
  <w:style w:type="paragraph" w:styleId="816">
    <w:name w:val="toc 2"/>
    <w:basedOn w:val="826"/>
    <w:next w:val="826"/>
    <w:uiPriority w:val="39"/>
    <w:unhideWhenUsed/>
    <w:pPr>
      <w:ind w:left="283" w:right="0" w:firstLine="0"/>
      <w:spacing w:after="57"/>
    </w:pPr>
  </w:style>
  <w:style w:type="paragraph" w:styleId="817">
    <w:name w:val="toc 3"/>
    <w:basedOn w:val="826"/>
    <w:next w:val="826"/>
    <w:uiPriority w:val="39"/>
    <w:unhideWhenUsed/>
    <w:pPr>
      <w:ind w:left="567" w:right="0" w:firstLine="0"/>
      <w:spacing w:after="57"/>
    </w:pPr>
  </w:style>
  <w:style w:type="paragraph" w:styleId="818">
    <w:name w:val="toc 4"/>
    <w:basedOn w:val="826"/>
    <w:next w:val="826"/>
    <w:uiPriority w:val="39"/>
    <w:unhideWhenUsed/>
    <w:pPr>
      <w:ind w:left="850" w:right="0" w:firstLine="0"/>
      <w:spacing w:after="57"/>
    </w:pPr>
  </w:style>
  <w:style w:type="paragraph" w:styleId="819">
    <w:name w:val="toc 5"/>
    <w:basedOn w:val="826"/>
    <w:next w:val="826"/>
    <w:uiPriority w:val="39"/>
    <w:unhideWhenUsed/>
    <w:pPr>
      <w:ind w:left="1134" w:right="0" w:firstLine="0"/>
      <w:spacing w:after="57"/>
    </w:pPr>
  </w:style>
  <w:style w:type="paragraph" w:styleId="820">
    <w:name w:val="toc 6"/>
    <w:basedOn w:val="826"/>
    <w:next w:val="826"/>
    <w:uiPriority w:val="39"/>
    <w:unhideWhenUsed/>
    <w:pPr>
      <w:ind w:left="1417" w:right="0" w:firstLine="0"/>
      <w:spacing w:after="57"/>
    </w:pPr>
  </w:style>
  <w:style w:type="paragraph" w:styleId="821">
    <w:name w:val="toc 7"/>
    <w:basedOn w:val="826"/>
    <w:next w:val="826"/>
    <w:uiPriority w:val="39"/>
    <w:unhideWhenUsed/>
    <w:pPr>
      <w:ind w:left="1701" w:right="0" w:firstLine="0"/>
      <w:spacing w:after="57"/>
    </w:pPr>
  </w:style>
  <w:style w:type="paragraph" w:styleId="822">
    <w:name w:val="toc 8"/>
    <w:basedOn w:val="826"/>
    <w:next w:val="826"/>
    <w:uiPriority w:val="39"/>
    <w:unhideWhenUsed/>
    <w:pPr>
      <w:ind w:left="1984" w:right="0" w:firstLine="0"/>
      <w:spacing w:after="57"/>
    </w:pPr>
  </w:style>
  <w:style w:type="paragraph" w:styleId="823">
    <w:name w:val="toc 9"/>
    <w:basedOn w:val="826"/>
    <w:next w:val="826"/>
    <w:uiPriority w:val="39"/>
    <w:unhideWhenUsed/>
    <w:pPr>
      <w:ind w:left="2268" w:right="0" w:firstLine="0"/>
      <w:spacing w:after="57"/>
    </w:pPr>
  </w:style>
  <w:style w:type="paragraph" w:styleId="824">
    <w:name w:val="TOC Heading"/>
    <w:uiPriority w:val="39"/>
    <w:unhideWhenUsed/>
  </w:style>
  <w:style w:type="paragraph" w:styleId="825">
    <w:name w:val="table of figures"/>
    <w:basedOn w:val="826"/>
    <w:next w:val="826"/>
    <w:uiPriority w:val="99"/>
    <w:unhideWhenUsed/>
    <w:pPr>
      <w:spacing w:after="0" w:afterAutospacing="0"/>
    </w:pPr>
  </w:style>
  <w:style w:type="paragraph" w:styleId="826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character" w:styleId="827" w:default="1">
    <w:name w:val="Default Paragraph Font"/>
    <w:uiPriority w:val="1"/>
    <w:semiHidden/>
    <w:unhideWhenUsed/>
    <w:qFormat/>
  </w:style>
  <w:style w:type="character" w:styleId="828" w:customStyle="1">
    <w:name w:val="Текст выноски Знак"/>
    <w:basedOn w:val="827"/>
    <w:link w:val="838"/>
    <w:uiPriority w:val="99"/>
    <w:semiHidden/>
    <w:qFormat/>
    <w:rPr>
      <w:rFonts w:ascii="Tahoma" w:hAnsi="Tahoma" w:cs="Tahoma"/>
      <w:sz w:val="16"/>
      <w:szCs w:val="16"/>
    </w:rPr>
  </w:style>
  <w:style w:type="character" w:styleId="829" w:customStyle="1">
    <w:name w:val="Верхний колонтитул Знак"/>
    <w:basedOn w:val="827"/>
    <w:uiPriority w:val="99"/>
    <w:qFormat/>
  </w:style>
  <w:style w:type="character" w:styleId="830" w:customStyle="1">
    <w:name w:val="Нижний колонтитул Знак"/>
    <w:basedOn w:val="827"/>
    <w:uiPriority w:val="99"/>
    <w:qFormat/>
  </w:style>
  <w:style w:type="character" w:styleId="831">
    <w:name w:val="Hyperlink"/>
    <w:basedOn w:val="827"/>
    <w:uiPriority w:val="99"/>
    <w:unhideWhenUsed/>
    <w:rPr>
      <w:color w:val="0000ff" w:themeColor="hyperlink"/>
      <w:u w:val="single"/>
    </w:rPr>
  </w:style>
  <w:style w:type="character" w:styleId="832" w:customStyle="1">
    <w:name w:val="Основной текст Знак"/>
    <w:basedOn w:val="827"/>
    <w:uiPriority w:val="1"/>
    <w:qFormat/>
    <w:rPr>
      <w:rFonts w:ascii="Times New Roman" w:hAnsi="Times New Roman" w:eastAsia="Calibri" w:cs="Times New Roman" w:eastAsiaTheme="minorHAnsi"/>
      <w:sz w:val="24"/>
      <w:szCs w:val="24"/>
      <w:lang w:eastAsia="en-US"/>
    </w:rPr>
  </w:style>
  <w:style w:type="paragraph" w:styleId="833">
    <w:name w:val="Заголовок"/>
    <w:basedOn w:val="826"/>
    <w:next w:val="834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34">
    <w:name w:val="Body Text"/>
    <w:basedOn w:val="826"/>
    <w:link w:val="832"/>
    <w:uiPriority w:val="1"/>
    <w:qFormat/>
    <w:pPr>
      <w:ind w:left="113"/>
      <w:spacing w:before="0" w:after="0" w:line="240" w:lineRule="auto"/>
    </w:pPr>
    <w:rPr>
      <w:rFonts w:ascii="Times New Roman" w:hAnsi="Times New Roman" w:eastAsia="Calibri" w:cs="Times New Roman" w:eastAsiaTheme="minorHAnsi"/>
      <w:sz w:val="24"/>
      <w:szCs w:val="24"/>
      <w:lang w:eastAsia="en-US"/>
    </w:rPr>
  </w:style>
  <w:style w:type="paragraph" w:styleId="835">
    <w:name w:val="List"/>
    <w:basedOn w:val="834"/>
    <w:rPr>
      <w:rFonts w:cs="Lohit Devanagari"/>
    </w:rPr>
  </w:style>
  <w:style w:type="paragraph" w:styleId="836">
    <w:name w:val="Caption"/>
    <w:basedOn w:val="826"/>
    <w:link w:val="683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837">
    <w:name w:val="Указатель"/>
    <w:basedOn w:val="826"/>
    <w:qFormat/>
    <w:pPr>
      <w:suppressLineNumbers/>
    </w:pPr>
    <w:rPr>
      <w:rFonts w:cs="Lohit Devanagari"/>
    </w:rPr>
  </w:style>
  <w:style w:type="paragraph" w:styleId="838">
    <w:name w:val="Balloon Text"/>
    <w:basedOn w:val="826"/>
    <w:link w:val="828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839" w:customStyle="1">
    <w:name w:val="Default"/>
    <w:qFormat/>
    <w:pPr>
      <w:jc w:val="left"/>
      <w:spacing w:before="0" w:after="0" w:line="240" w:lineRule="auto"/>
      <w:widowControl/>
    </w:pPr>
    <w:rPr>
      <w:rFonts w:ascii="Calibri" w:hAnsi="Calibri" w:cs="Calibri"/>
      <w:color w:val="000000"/>
      <w:sz w:val="24"/>
      <w:szCs w:val="24"/>
      <w:lang w:val="ru-RU" w:eastAsia="ru-RU" w:bidi="ar-SA"/>
    </w:rPr>
  </w:style>
  <w:style w:type="paragraph" w:styleId="840">
    <w:name w:val="Колонтитул"/>
    <w:basedOn w:val="826"/>
    <w:qFormat/>
  </w:style>
  <w:style w:type="paragraph" w:styleId="841">
    <w:name w:val="Header"/>
    <w:basedOn w:val="826"/>
    <w:link w:val="829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42">
    <w:name w:val="Footer"/>
    <w:basedOn w:val="826"/>
    <w:link w:val="830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43">
    <w:name w:val="List Paragraph"/>
    <w:basedOn w:val="826"/>
    <w:uiPriority w:val="34"/>
    <w:qFormat/>
    <w:pPr>
      <w:contextualSpacing/>
      <w:ind w:left="720"/>
      <w:spacing w:before="0" w:after="200"/>
    </w:pPr>
  </w:style>
  <w:style w:type="paragraph" w:styleId="844">
    <w:name w:val="Normal (Web)"/>
    <w:basedOn w:val="826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numbering" w:styleId="845" w:default="1">
    <w:name w:val="No List"/>
    <w:uiPriority w:val="99"/>
    <w:semiHidden/>
    <w:unhideWhenUsed/>
    <w:qFormat/>
  </w:style>
  <w:style w:type="table" w:styleId="84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47">
    <w:name w:val="Table Grid"/>
    <w:basedOn w:val="84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ED251-67DC-43DD-905E-42134B919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Lenoblgas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Загуменнова Наталия Александровна</dc:creator>
  <dc:description/>
  <dc:language>ru-RU</dc:language>
  <cp:lastModifiedBy>u4800137</cp:lastModifiedBy>
  <cp:revision>14</cp:revision>
  <dcterms:created xsi:type="dcterms:W3CDTF">2025-04-07T13:00:00Z</dcterms:created>
  <dcterms:modified xsi:type="dcterms:W3CDTF">2026-08-18T11:23:24Z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